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9830"/>
    <w:p w14:paraId="13E336EB"/>
    <w:p w14:paraId="0EBE81CF"/>
    <w:p w14:paraId="3D868AA9"/>
    <w:p w14:paraId="6D825287"/>
    <w:p w14:paraId="3BA4FCC7"/>
    <w:p w14:paraId="43824253"/>
    <w:p w14:paraId="7737306F"/>
    <w:p w14:paraId="1B49FAB4">
      <w:r>
        <w:drawing>
          <wp:anchor distT="0" distB="0" distL="114300" distR="114300" simplePos="0" relativeHeight="251659264" behindDoc="1" locked="0" layoutInCell="1" allowOverlap="1">
            <wp:simplePos x="0" y="0"/>
            <wp:positionH relativeFrom="margin">
              <wp:posOffset>-243205</wp:posOffset>
            </wp:positionH>
            <wp:positionV relativeFrom="paragraph">
              <wp:posOffset>-1247140</wp:posOffset>
            </wp:positionV>
            <wp:extent cx="7148195" cy="1613535"/>
            <wp:effectExtent l="0" t="0" r="14605" b="12065"/>
            <wp:wrapNone/>
            <wp:docPr id="2" name="图片 1" descr="C:\Users\smbu\AppData\Local\Temp\16347797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smbu\AppData\Local\Temp\1634779742(1).png"/>
                    <pic:cNvPicPr>
                      <a:picLocks noChangeAspect="1" noChangeArrowheads="1"/>
                    </pic:cNvPicPr>
                  </pic:nvPicPr>
                  <pic:blipFill>
                    <a:blip r:embed="rId4"/>
                    <a:srcRect/>
                    <a:stretch>
                      <a:fillRect/>
                    </a:stretch>
                  </pic:blipFill>
                  <pic:spPr>
                    <a:xfrm>
                      <a:off x="0" y="0"/>
                      <a:ext cx="7148195" cy="1613535"/>
                    </a:xfrm>
                    <a:prstGeom prst="rect">
                      <a:avLst/>
                    </a:prstGeom>
                    <a:noFill/>
                    <a:ln>
                      <a:noFill/>
                    </a:ln>
                  </pic:spPr>
                </pic:pic>
              </a:graphicData>
            </a:graphic>
          </wp:anchor>
        </w:drawing>
      </w:r>
    </w:p>
    <w:p w14:paraId="00237FEB"/>
    <w:p w14:paraId="6CEF1A82"/>
    <w:p w14:paraId="2BD8D9A7"/>
    <w:p w14:paraId="3922973D"/>
    <w:p w14:paraId="7F10C224"/>
    <w:p w14:paraId="40F4EE1E"/>
    <w:p w14:paraId="0F5FC54D">
      <w:pPr>
        <w:spacing w:line="260" w:lineRule="auto"/>
        <w:jc w:val="center"/>
        <w:rPr>
          <w:rFonts w:hint="default" w:ascii="华文新魏" w:hAnsi="华文新魏" w:eastAsia="华文新魏" w:cs="华文新魏"/>
          <w:b/>
          <w:bCs/>
          <w:color w:val="293C73"/>
          <w:spacing w:val="-2"/>
          <w:sz w:val="72"/>
          <w:szCs w:val="48"/>
          <w:lang w:val="en-US"/>
        </w:rPr>
      </w:pPr>
    </w:p>
    <w:p w14:paraId="0BC4D451">
      <w:pPr>
        <w:spacing w:line="260" w:lineRule="auto"/>
        <w:jc w:val="center"/>
        <w:rPr>
          <w:rFonts w:hint="eastAsia" w:ascii="华文新魏" w:hAnsi="华文新魏" w:eastAsia="华文新魏" w:cs="华文新魏"/>
          <w:b/>
          <w:bCs/>
          <w:color w:val="293C73"/>
          <w:spacing w:val="-2"/>
          <w:sz w:val="72"/>
          <w:szCs w:val="48"/>
          <w:lang w:val="en-US" w:eastAsia="zh-CN"/>
        </w:rPr>
      </w:pPr>
      <w:r>
        <w:rPr>
          <w:rFonts w:hint="eastAsia" w:ascii="华文新魏" w:hAnsi="华文新魏" w:eastAsia="华文新魏" w:cs="华文新魏"/>
          <w:b/>
          <w:bCs/>
          <w:color w:val="293C73"/>
          <w:spacing w:val="-2"/>
          <w:sz w:val="72"/>
          <w:szCs w:val="48"/>
          <w:lang w:val="en-US" w:eastAsia="zh-CN"/>
        </w:rPr>
        <w:t>积分方程数值分析研讨会</w:t>
      </w:r>
    </w:p>
    <w:p w14:paraId="2364A2FB">
      <w:pPr>
        <w:spacing w:line="260" w:lineRule="auto"/>
        <w:jc w:val="center"/>
        <w:rPr>
          <w:rFonts w:hint="eastAsia" w:ascii="华文新魏" w:hAnsi="华文新魏" w:eastAsia="华文新魏" w:cs="华文新魏"/>
          <w:sz w:val="48"/>
          <w:szCs w:val="48"/>
          <w:lang w:val="en-US" w:eastAsia="zh-CN"/>
        </w:rPr>
      </w:pPr>
      <w:r>
        <w:rPr>
          <w:rFonts w:hint="eastAsia" w:ascii="华文新魏" w:hAnsi="华文新魏" w:eastAsia="华文新魏" w:cs="华文新魏"/>
          <w:sz w:val="48"/>
          <w:szCs w:val="48"/>
          <w:lang w:val="en-US" w:eastAsia="zh-CN"/>
        </w:rPr>
        <w:t>Workshop on</w:t>
      </w:r>
    </w:p>
    <w:p w14:paraId="4D0A4A0B">
      <w:pPr>
        <w:spacing w:line="260" w:lineRule="auto"/>
        <w:jc w:val="center"/>
        <w:rPr>
          <w:rFonts w:ascii="华文新魏" w:hAnsi="华文新魏" w:eastAsia="华文新魏" w:cs="华文新魏"/>
          <w:sz w:val="48"/>
          <w:szCs w:val="48"/>
        </w:rPr>
      </w:pPr>
      <w:r>
        <w:rPr>
          <w:rFonts w:hint="eastAsia" w:ascii="华文新魏" w:hAnsi="华文新魏" w:eastAsia="华文新魏" w:cs="华文新魏"/>
          <w:sz w:val="48"/>
          <w:szCs w:val="48"/>
          <w:lang w:val="en-US" w:eastAsia="zh-CN"/>
        </w:rPr>
        <w:t>Numerical Analysis of Integral Equations</w:t>
      </w:r>
    </w:p>
    <w:p w14:paraId="1EC773BF"/>
    <w:p w14:paraId="64B02181"/>
    <w:p w14:paraId="540237C4"/>
    <w:p w14:paraId="7422353D"/>
    <w:p w14:paraId="5F615999"/>
    <w:p w14:paraId="715C9ACC">
      <w:pPr>
        <w:spacing w:line="351" w:lineRule="auto"/>
        <w:ind w:right="454" w:rightChars="216"/>
        <w:rPr>
          <w:rFonts w:ascii="仿宋" w:hAnsi="仿宋" w:eastAsia="仿宋" w:cs="宋体"/>
          <w:b/>
          <w:sz w:val="32"/>
          <w:szCs w:val="32"/>
          <w:shd w:val="clear" w:color="auto" w:fill="FFFFFF"/>
          <w:lang w:bidi="ar"/>
        </w:rPr>
      </w:pPr>
    </w:p>
    <w:p w14:paraId="08AB825E">
      <w:pPr>
        <w:spacing w:line="351" w:lineRule="auto"/>
        <w:ind w:right="454" w:rightChars="216"/>
        <w:jc w:val="center"/>
        <w:rPr>
          <w:rFonts w:ascii="仿宋" w:hAnsi="仿宋" w:eastAsia="仿宋" w:cs="宋体"/>
          <w:sz w:val="32"/>
          <w:szCs w:val="32"/>
          <w:shd w:val="clear" w:color="auto" w:fill="FFFFFF"/>
          <w:lang w:bidi="ar"/>
        </w:rPr>
      </w:pPr>
      <w:r>
        <w:rPr>
          <w:rFonts w:hint="eastAsia" w:ascii="仿宋" w:hAnsi="仿宋" w:eastAsia="仿宋" w:cs="宋体"/>
          <w:b/>
          <w:sz w:val="32"/>
          <w:szCs w:val="32"/>
          <w:shd w:val="clear" w:color="auto" w:fill="FFFFFF"/>
          <w:lang w:bidi="ar"/>
        </w:rPr>
        <w:t>主办单位：</w:t>
      </w:r>
      <w:r>
        <w:rPr>
          <w:rFonts w:hint="eastAsia" w:ascii="仿宋" w:hAnsi="仿宋" w:eastAsia="仿宋" w:cs="宋体"/>
          <w:sz w:val="32"/>
          <w:szCs w:val="32"/>
          <w:shd w:val="clear" w:color="auto" w:fill="FFFFFF"/>
          <w:lang w:bidi="ar"/>
        </w:rPr>
        <w:t>深圳北理莫斯科大学</w:t>
      </w:r>
    </w:p>
    <w:p w14:paraId="36B5062C">
      <w:pPr>
        <w:spacing w:line="351" w:lineRule="auto"/>
        <w:ind w:right="454" w:rightChars="216"/>
        <w:jc w:val="center"/>
        <w:rPr>
          <w:rFonts w:hint="eastAsia" w:ascii="仿宋" w:hAnsi="仿宋" w:eastAsia="仿宋" w:cs="宋体"/>
          <w:sz w:val="32"/>
          <w:szCs w:val="32"/>
          <w:shd w:val="clear" w:color="auto" w:fill="FFFFFF"/>
          <w:lang w:bidi="ar"/>
        </w:rPr>
      </w:pPr>
      <w:r>
        <w:rPr>
          <w:rFonts w:hint="eastAsia" w:ascii="仿宋" w:hAnsi="仿宋" w:eastAsia="仿宋" w:cs="宋体"/>
          <w:sz w:val="32"/>
          <w:szCs w:val="32"/>
          <w:shd w:val="clear" w:color="auto" w:fill="FFFFFF"/>
          <w:lang w:bidi="ar"/>
        </w:rPr>
        <w:t>计算数学与控制系</w:t>
      </w:r>
    </w:p>
    <w:p w14:paraId="008362C2">
      <w:pPr>
        <w:spacing w:line="351" w:lineRule="auto"/>
        <w:ind w:right="454" w:rightChars="216"/>
        <w:jc w:val="center"/>
        <w:rPr>
          <w:rFonts w:hint="default" w:ascii="仿宋" w:hAnsi="仿宋" w:eastAsia="仿宋" w:cs="宋体"/>
          <w:sz w:val="32"/>
          <w:szCs w:val="32"/>
          <w:shd w:val="clear" w:color="auto" w:fill="FFFFFF"/>
          <w:lang w:val="en-US" w:eastAsia="zh-CN" w:bidi="ar"/>
        </w:rPr>
      </w:pPr>
      <w:r>
        <w:rPr>
          <w:rFonts w:hint="eastAsia" w:ascii="仿宋" w:hAnsi="仿宋" w:eastAsia="仿宋" w:cs="宋体"/>
          <w:sz w:val="32"/>
          <w:szCs w:val="32"/>
          <w:shd w:val="clear" w:color="auto" w:fill="FFFFFF"/>
          <w:lang w:val="en-US" w:eastAsia="zh-CN" w:bidi="ar"/>
        </w:rPr>
        <w:t>莫大-北理工-深北莫应用数学联合研究中心</w:t>
      </w:r>
    </w:p>
    <w:p w14:paraId="59BA9E66">
      <w:pPr>
        <w:spacing w:line="351" w:lineRule="auto"/>
        <w:ind w:right="454" w:rightChars="216" w:firstLine="3200" w:firstLineChars="1000"/>
        <w:jc w:val="center"/>
        <w:rPr>
          <w:rFonts w:ascii="仿宋" w:hAnsi="仿宋" w:eastAsia="仿宋" w:cs="宋体"/>
          <w:sz w:val="32"/>
          <w:szCs w:val="32"/>
          <w:shd w:val="clear" w:color="auto" w:fill="FFFFFF"/>
          <w:lang w:bidi="ar"/>
        </w:rPr>
      </w:pPr>
    </w:p>
    <w:p w14:paraId="675B95C8">
      <w:pPr>
        <w:spacing w:line="351" w:lineRule="auto"/>
        <w:ind w:right="454" w:rightChars="216" w:firstLine="3680" w:firstLineChars="1150"/>
        <w:jc w:val="center"/>
        <w:rPr>
          <w:rFonts w:ascii="仿宋" w:hAnsi="仿宋" w:eastAsia="仿宋" w:cs="宋体"/>
          <w:sz w:val="32"/>
          <w:szCs w:val="32"/>
          <w:shd w:val="clear" w:color="auto" w:fill="FFFFFF"/>
          <w:lang w:bidi="ar"/>
        </w:rPr>
      </w:pPr>
    </w:p>
    <w:p w14:paraId="43EE3EDE">
      <w:pPr>
        <w:jc w:val="center"/>
        <w:sectPr>
          <w:pgSz w:w="11906" w:h="16838"/>
          <w:pgMar w:top="720" w:right="720" w:bottom="720" w:left="720" w:header="851" w:footer="992" w:gutter="0"/>
          <w:cols w:space="425" w:num="1"/>
          <w:docGrid w:type="lines" w:linePitch="312" w:charSpace="0"/>
        </w:sectPr>
      </w:pPr>
      <w:r>
        <w:rPr>
          <w:rFonts w:ascii="仿宋" w:hAnsi="仿宋" w:eastAsia="仿宋" w:cs="宋体"/>
          <w:sz w:val="36"/>
          <w:szCs w:val="36"/>
          <w:shd w:val="clear" w:color="auto" w:fill="FFFFFF"/>
          <w:lang w:bidi="ar"/>
        </w:rPr>
        <w:t xml:space="preserve">   </w:t>
      </w:r>
      <w:r>
        <w:rPr>
          <w:rFonts w:hint="eastAsia" w:ascii="仿宋" w:hAnsi="仿宋" w:eastAsia="仿宋" w:cs="宋体"/>
          <w:sz w:val="36"/>
          <w:szCs w:val="36"/>
          <w:shd w:val="clear" w:color="auto" w:fill="FFFFFF"/>
          <w:lang w:bidi="ar"/>
        </w:rPr>
        <w:t>202</w:t>
      </w:r>
      <w:r>
        <w:rPr>
          <w:rFonts w:hint="eastAsia" w:ascii="仿宋" w:hAnsi="仿宋" w:eastAsia="仿宋" w:cs="宋体"/>
          <w:sz w:val="36"/>
          <w:szCs w:val="36"/>
          <w:shd w:val="clear" w:color="auto" w:fill="FFFFFF"/>
          <w:lang w:val="en-US" w:eastAsia="zh-CN" w:bidi="ar"/>
        </w:rPr>
        <w:t>5</w:t>
      </w:r>
      <w:r>
        <w:rPr>
          <w:rFonts w:hint="eastAsia" w:ascii="仿宋" w:hAnsi="仿宋" w:eastAsia="仿宋" w:cs="宋体"/>
          <w:sz w:val="36"/>
          <w:szCs w:val="36"/>
          <w:shd w:val="clear" w:color="auto" w:fill="FFFFFF"/>
          <w:lang w:bidi="ar"/>
        </w:rPr>
        <w:t>年</w:t>
      </w:r>
      <w:r>
        <w:rPr>
          <w:rFonts w:hint="eastAsia" w:ascii="仿宋" w:hAnsi="仿宋" w:eastAsia="仿宋" w:cs="宋体"/>
          <w:sz w:val="36"/>
          <w:szCs w:val="36"/>
          <w:shd w:val="clear" w:color="auto" w:fill="FFFFFF"/>
          <w:lang w:val="en-US" w:eastAsia="zh-CN" w:bidi="ar"/>
        </w:rPr>
        <w:t>4</w:t>
      </w:r>
      <w:r>
        <w:rPr>
          <w:rFonts w:hint="eastAsia" w:ascii="仿宋" w:hAnsi="仿宋" w:eastAsia="仿宋" w:cs="宋体"/>
          <w:sz w:val="36"/>
          <w:szCs w:val="36"/>
          <w:shd w:val="clear" w:color="auto" w:fill="FFFFFF"/>
          <w:lang w:bidi="ar"/>
        </w:rPr>
        <w:t>月</w:t>
      </w:r>
      <w:r>
        <w:rPr>
          <w:rFonts w:hint="eastAsia" w:ascii="仿宋" w:hAnsi="仿宋" w:eastAsia="仿宋" w:cs="宋体"/>
          <w:sz w:val="36"/>
          <w:szCs w:val="36"/>
          <w:shd w:val="clear" w:color="auto" w:fill="FFFFFF"/>
          <w:lang w:val="en-US" w:eastAsia="zh-CN" w:bidi="ar"/>
        </w:rPr>
        <w:t>30</w:t>
      </w:r>
      <w:r>
        <w:rPr>
          <w:rFonts w:hint="eastAsia" w:ascii="仿宋" w:hAnsi="仿宋" w:eastAsia="仿宋" w:cs="宋体"/>
          <w:sz w:val="36"/>
          <w:szCs w:val="36"/>
          <w:shd w:val="clear" w:color="auto" w:fill="FFFFFF"/>
          <w:lang w:bidi="ar"/>
        </w:rPr>
        <w:t>日·深圳</w:t>
      </w:r>
    </w:p>
    <w:p w14:paraId="1C6F30F0">
      <w:pPr>
        <w:spacing w:line="351" w:lineRule="auto"/>
        <w:jc w:val="both"/>
        <w:rPr>
          <w:rFonts w:ascii="黑体" w:hAnsi="黑体" w:eastAsia="黑体" w:cs="宋体"/>
          <w:b/>
          <w:bCs/>
          <w:color w:val="000000" w:themeColor="text1"/>
          <w:sz w:val="36"/>
          <w:szCs w:val="32"/>
          <w14:textFill>
            <w14:solidFill>
              <w14:schemeClr w14:val="tx1"/>
            </w14:solidFill>
          </w14:textFill>
        </w:rPr>
      </w:pPr>
    </w:p>
    <w:p w14:paraId="70B52D65">
      <w:pPr>
        <w:numPr>
          <w:ilvl w:val="0"/>
          <w:numId w:val="0"/>
        </w:numPr>
        <w:spacing w:line="351" w:lineRule="auto"/>
        <w:ind w:left="1159" w:leftChars="0"/>
        <w:jc w:val="center"/>
        <w:rPr>
          <w:rFonts w:ascii="黑体" w:hAnsi="黑体" w:eastAsia="黑体" w:cs="宋体"/>
          <w:b/>
          <w:bCs/>
          <w:color w:val="000000" w:themeColor="text1"/>
          <w:sz w:val="36"/>
          <w:szCs w:val="32"/>
          <w14:textFill>
            <w14:solidFill>
              <w14:schemeClr w14:val="tx1"/>
            </w14:solidFill>
          </w14:textFill>
        </w:rPr>
      </w:pPr>
      <w:r>
        <w:rPr>
          <w:rFonts w:hint="eastAsia" w:ascii="黑体" w:hAnsi="黑体" w:eastAsia="黑体" w:cs="宋体"/>
          <w:b/>
          <w:bCs/>
          <w:color w:val="000000" w:themeColor="text1"/>
          <w:sz w:val="36"/>
          <w:szCs w:val="32"/>
          <w:lang w:val="en-US" w:eastAsia="zh-CN"/>
          <w14:textFill>
            <w14:solidFill>
              <w14:schemeClr w14:val="tx1"/>
            </w14:solidFill>
          </w14:textFill>
        </w:rPr>
        <w:t>一、</w:t>
      </w:r>
      <w:r>
        <w:rPr>
          <w:rFonts w:hint="eastAsia" w:ascii="黑体" w:hAnsi="黑体" w:eastAsia="黑体" w:cs="宋体"/>
          <w:b/>
          <w:bCs/>
          <w:color w:val="000000" w:themeColor="text1"/>
          <w:sz w:val="36"/>
          <w:szCs w:val="32"/>
          <w14:textFill>
            <w14:solidFill>
              <w14:schemeClr w14:val="tx1"/>
            </w14:solidFill>
          </w14:textFill>
        </w:rPr>
        <w:t>会议日程</w:t>
      </w:r>
      <w:r>
        <w:rPr>
          <w:rFonts w:ascii="黑体" w:hAnsi="黑体" w:eastAsia="黑体" w:cs="宋体"/>
          <w:b/>
          <w:bCs/>
          <w:color w:val="000000" w:themeColor="text1"/>
          <w:sz w:val="36"/>
          <w:szCs w:val="32"/>
          <w14:textFill>
            <w14:solidFill>
              <w14:schemeClr w14:val="tx1"/>
            </w14:solidFill>
          </w14:textFill>
        </w:rPr>
        <w:t>(Program Schedule)</w:t>
      </w:r>
    </w:p>
    <w:p w14:paraId="719B5D18">
      <w:pPr>
        <w:spacing w:line="351" w:lineRule="auto"/>
      </w:pPr>
    </w:p>
    <w:p w14:paraId="6873F12D">
      <w:pPr>
        <w:spacing w:line="351" w:lineRule="auto"/>
        <w:rPr>
          <w:rFonts w:ascii="黑体" w:hAnsi="黑体" w:eastAsia="黑体" w:cs="宋体"/>
          <w:b/>
          <w:bCs/>
          <w:color w:val="000000" w:themeColor="text1"/>
          <w:sz w:val="36"/>
          <w:szCs w:val="32"/>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780"/>
      </w:tblGrid>
      <w:tr w14:paraId="4521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2" w:type="dxa"/>
            <w:gridSpan w:val="2"/>
            <w:shd w:val="clear" w:color="auto" w:fill="D8D8D8" w:themeFill="background1" w:themeFillShade="D9"/>
            <w:vAlign w:val="center"/>
          </w:tcPr>
          <w:p w14:paraId="42F827F6">
            <w:pPr>
              <w:spacing w:before="48" w:beforeLines="20" w:after="48" w:afterLines="20"/>
              <w:jc w:val="center"/>
              <w:rPr>
                <w:rFonts w:ascii="Times New Roman" w:hAnsi="Times New Roman" w:eastAsia="宋体" w:cs="Times New Roman"/>
                <w:b/>
                <w:bCs/>
                <w:color w:val="FFFFFF" w:themeColor="background1"/>
                <w:sz w:val="24"/>
                <w14:textFill>
                  <w14:solidFill>
                    <w14:schemeClr w14:val="bg1"/>
                  </w14:solidFill>
                </w14:textFill>
              </w:rPr>
            </w:pPr>
            <w:r>
              <w:rPr>
                <w:rFonts w:ascii="Times New Roman" w:hAnsi="Times New Roman" w:eastAsia="黑体" w:cs="Times New Roman"/>
                <w:b/>
                <w:bCs/>
                <w:sz w:val="24"/>
              </w:rPr>
              <w:t>第</w:t>
            </w:r>
            <w:r>
              <w:rPr>
                <w:rFonts w:hint="eastAsia" w:ascii="Times New Roman" w:hAnsi="Times New Roman" w:eastAsia="黑体" w:cs="Times New Roman"/>
                <w:b/>
                <w:bCs/>
                <w:sz w:val="24"/>
                <w:lang w:val="en-US" w:eastAsia="zh-CN"/>
              </w:rPr>
              <w:t>一</w:t>
            </w:r>
            <w:r>
              <w:rPr>
                <w:rFonts w:ascii="Times New Roman" w:hAnsi="Times New Roman" w:eastAsia="黑体" w:cs="Times New Roman"/>
                <w:b/>
                <w:bCs/>
                <w:sz w:val="24"/>
              </w:rPr>
              <w:t>天(</w:t>
            </w:r>
            <w:r>
              <w:rPr>
                <w:rFonts w:ascii="Times New Roman" w:hAnsi="Times New Roman" w:eastAsia="Times New Roman" w:cs="Times New Roman"/>
                <w:b/>
                <w:bCs/>
                <w:sz w:val="24"/>
              </w:rPr>
              <w:t xml:space="preserve">Day </w:t>
            </w:r>
            <w:r>
              <w:rPr>
                <w:rFonts w:hint="eastAsia" w:ascii="Times New Roman" w:hAnsi="Times New Roman" w:eastAsia="宋体" w:cs="Times New Roman"/>
                <w:b/>
                <w:bCs/>
                <w:sz w:val="24"/>
                <w:lang w:val="en-US" w:eastAsia="zh-CN"/>
              </w:rPr>
              <w:t>1</w:t>
            </w:r>
            <w:r>
              <w:rPr>
                <w:rFonts w:ascii="Times New Roman" w:hAnsi="Times New Roman" w:eastAsia="Times New Roman" w:cs="Times New Roman"/>
                <w:b/>
                <w:bCs/>
                <w:sz w:val="24"/>
              </w:rPr>
              <w:t xml:space="preserve">): </w:t>
            </w:r>
            <w:r>
              <w:rPr>
                <w:rFonts w:hint="eastAsia" w:ascii="Times New Roman" w:hAnsi="Times New Roman" w:eastAsia="宋体" w:cs="Times New Roman"/>
                <w:b/>
                <w:bCs/>
                <w:sz w:val="24"/>
                <w:lang w:val="en-US" w:eastAsia="zh-CN"/>
              </w:rPr>
              <w:t>April 3</w:t>
            </w:r>
            <w:r>
              <w:rPr>
                <w:rFonts w:hint="default" w:ascii="Times New Roman" w:hAnsi="Times New Roman" w:eastAsia="Times New Roman" w:cs="Times New Roman"/>
                <w:b/>
                <w:bCs/>
                <w:sz w:val="24"/>
                <w:lang w:val="en-US"/>
              </w:rPr>
              <w:t>0</w:t>
            </w:r>
            <w:r>
              <w:rPr>
                <w:rFonts w:ascii="Times New Roman" w:hAnsi="Times New Roman" w:eastAsia="Times New Roman" w:cs="Times New Roman"/>
                <w:b/>
                <w:bCs/>
                <w:sz w:val="24"/>
              </w:rPr>
              <w:t>, 20</w:t>
            </w:r>
            <w:r>
              <w:rPr>
                <w:rFonts w:ascii="Times New Roman" w:hAnsi="Times New Roman" w:eastAsia="宋体" w:cs="Times New Roman"/>
                <w:b/>
                <w:bCs/>
                <w:sz w:val="24"/>
              </w:rPr>
              <w:t>2</w:t>
            </w:r>
            <w:r>
              <w:rPr>
                <w:rFonts w:hint="default" w:ascii="Times New Roman" w:hAnsi="Times New Roman" w:eastAsia="宋体" w:cs="Times New Roman"/>
                <w:b/>
                <w:bCs/>
                <w:sz w:val="24"/>
                <w:lang w:val="en-US"/>
              </w:rPr>
              <w:t>5</w:t>
            </w:r>
          </w:p>
        </w:tc>
      </w:tr>
      <w:tr w14:paraId="2E97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2" w:type="dxa"/>
            <w:gridSpan w:val="2"/>
            <w:shd w:val="clear" w:color="auto" w:fill="F1F1F1" w:themeFill="background1" w:themeFillShade="F2"/>
            <w:vAlign w:val="center"/>
          </w:tcPr>
          <w:p w14:paraId="0D090880">
            <w:pPr>
              <w:spacing w:before="48" w:beforeLines="20" w:after="48" w:afterLines="20"/>
              <w:jc w:val="center"/>
              <w:rPr>
                <w:rFonts w:hint="default" w:ascii="Times New Roman" w:hAnsi="Times New Roman" w:eastAsia="宋体" w:cs="Times New Roman"/>
                <w:b/>
                <w:bCs/>
                <w:sz w:val="24"/>
                <w:lang w:val="en-US" w:eastAsia="zh-CN"/>
              </w:rPr>
            </w:pPr>
            <w:r>
              <w:rPr>
                <w:rFonts w:ascii="Times New Roman" w:hAnsi="Times New Roman" w:eastAsia="Times New Roman" w:cs="Times New Roman"/>
                <w:b/>
                <w:bCs/>
                <w:sz w:val="24"/>
              </w:rPr>
              <w:t xml:space="preserve">   Chair: </w:t>
            </w:r>
            <w:r>
              <w:rPr>
                <w:rFonts w:hint="eastAsia" w:ascii="Times New Roman" w:hAnsi="Times New Roman" w:eastAsia="宋体" w:cs="Times New Roman"/>
                <w:b/>
                <w:bCs/>
                <w:sz w:val="24"/>
                <w:lang w:val="en-US" w:eastAsia="zh-CN"/>
              </w:rPr>
              <w:t>Ye Zhang</w:t>
            </w:r>
          </w:p>
        </w:tc>
      </w:tr>
      <w:tr w14:paraId="6FE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02" w:type="dxa"/>
            <w:shd w:val="clear" w:color="auto" w:fill="auto"/>
            <w:vAlign w:val="center"/>
          </w:tcPr>
          <w:p w14:paraId="7F9631CD">
            <w:pPr>
              <w:spacing w:before="48" w:beforeLines="20" w:after="48" w:afterLines="2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9:30-10:00</w:t>
            </w:r>
          </w:p>
        </w:tc>
        <w:tc>
          <w:tcPr>
            <w:tcW w:w="7780" w:type="dxa"/>
            <w:shd w:val="clear" w:color="auto" w:fill="auto"/>
            <w:vAlign w:val="center"/>
          </w:tcPr>
          <w:p w14:paraId="78C24110">
            <w:pPr>
              <w:bidi w:val="0"/>
              <w:jc w:val="center"/>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Ye Zhang</w:t>
            </w:r>
          </w:p>
          <w:p w14:paraId="338871A5">
            <w:pPr>
              <w:bidi w:val="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val="0"/>
                <w:bCs w:val="0"/>
                <w:sz w:val="24"/>
                <w:lang w:val="en-US" w:eastAsia="zh-CN"/>
              </w:rPr>
              <w:t>Introduction to Shenzhen</w:t>
            </w:r>
            <w:r>
              <w:rPr>
                <w:rFonts w:hint="eastAsia" w:ascii="Times New Roman" w:hAnsi="Times New Roman" w:eastAsia="宋体" w:cs="Times New Roman"/>
                <w:b w:val="0"/>
                <w:bCs w:val="0"/>
                <w:sz w:val="24"/>
                <w:lang w:val="en-US" w:eastAsia="zh-CN"/>
              </w:rPr>
              <w:t xml:space="preserve"> MSU-BIT </w:t>
            </w:r>
            <w:r>
              <w:rPr>
                <w:rFonts w:hint="default" w:ascii="Times New Roman" w:hAnsi="Times New Roman" w:eastAsia="宋体" w:cs="Times New Roman"/>
                <w:b w:val="0"/>
                <w:bCs w:val="0"/>
                <w:sz w:val="24"/>
                <w:lang w:val="en-US" w:eastAsia="zh-CN"/>
              </w:rPr>
              <w:t>University</w:t>
            </w:r>
          </w:p>
        </w:tc>
      </w:tr>
      <w:tr w14:paraId="5FC6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02" w:type="dxa"/>
            <w:shd w:val="clear" w:color="auto" w:fill="auto"/>
            <w:vAlign w:val="center"/>
          </w:tcPr>
          <w:p w14:paraId="13318AB5">
            <w:pPr>
              <w:spacing w:before="48" w:beforeLines="20" w:after="48" w:afterLines="20"/>
              <w:jc w:val="center"/>
              <w:rPr>
                <w:rFonts w:ascii="Times New Roman" w:hAnsi="Times New Roman" w:eastAsia="宋体" w:cs="Times New Roman"/>
                <w:sz w:val="24"/>
              </w:rPr>
            </w:pPr>
            <w:r>
              <w:rPr>
                <w:rFonts w:hint="default" w:ascii="Times New Roman" w:hAnsi="Times New Roman" w:eastAsia="宋体" w:cs="Times New Roman"/>
                <w:sz w:val="24"/>
                <w:lang w:val="en-US"/>
              </w:rPr>
              <w:t>10</w:t>
            </w:r>
            <w:r>
              <w:rPr>
                <w:rFonts w:ascii="Times New Roman" w:hAnsi="Times New Roman" w:eastAsia="宋体" w:cs="Times New Roman"/>
                <w:sz w:val="24"/>
              </w:rPr>
              <w:t>:00-</w:t>
            </w:r>
            <w:r>
              <w:rPr>
                <w:rFonts w:hint="default" w:ascii="Times New Roman" w:hAnsi="Times New Roman" w:eastAsia="宋体" w:cs="Times New Roman"/>
                <w:sz w:val="24"/>
                <w:lang w:val="en-US"/>
              </w:rPr>
              <w:t>11</w:t>
            </w:r>
            <w:r>
              <w:rPr>
                <w:rFonts w:ascii="Times New Roman" w:hAnsi="Times New Roman" w:eastAsia="宋体" w:cs="Times New Roman"/>
                <w:sz w:val="24"/>
              </w:rPr>
              <w:t>:</w:t>
            </w:r>
            <w:r>
              <w:rPr>
                <w:rFonts w:hint="default" w:ascii="Times New Roman" w:hAnsi="Times New Roman" w:eastAsia="宋体" w:cs="Times New Roman"/>
                <w:sz w:val="24"/>
                <w:lang w:val="en-US"/>
              </w:rPr>
              <w:t>0</w:t>
            </w:r>
            <w:r>
              <w:rPr>
                <w:rFonts w:ascii="Times New Roman" w:hAnsi="Times New Roman" w:eastAsia="宋体" w:cs="Times New Roman"/>
                <w:sz w:val="24"/>
              </w:rPr>
              <w:t>0</w:t>
            </w:r>
          </w:p>
        </w:tc>
        <w:tc>
          <w:tcPr>
            <w:tcW w:w="7780" w:type="dxa"/>
            <w:shd w:val="clear" w:color="auto" w:fill="auto"/>
            <w:vAlign w:val="center"/>
          </w:tcPr>
          <w:p w14:paraId="07A5236D">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Hanxiao Wang</w:t>
            </w:r>
          </w:p>
          <w:p w14:paraId="1113905B">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Solvability of coupled forward-backward Volterra integral equa</w:t>
            </w:r>
          </w:p>
          <w:p w14:paraId="29292EDD">
            <w:pPr>
              <w:bidi w:val="0"/>
              <w:jc w:val="center"/>
              <w:rPr>
                <w:rFonts w:ascii="Times New Roman" w:hAnsi="Times New Roman" w:cs="Times New Roman"/>
                <w:sz w:val="24"/>
                <w:szCs w:val="24"/>
              </w:rPr>
            </w:pPr>
            <w:r>
              <w:rPr>
                <w:rFonts w:hint="default" w:ascii="Times New Roman" w:hAnsi="Times New Roman" w:cs="Times New Roman"/>
                <w:sz w:val="24"/>
                <w:szCs w:val="24"/>
                <w:lang w:val="en-US" w:eastAsia="zh-CN"/>
              </w:rPr>
              <w:t>tions</w:t>
            </w:r>
          </w:p>
        </w:tc>
      </w:tr>
      <w:tr w14:paraId="6F60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02" w:type="dxa"/>
            <w:shd w:val="clear" w:color="auto" w:fill="auto"/>
            <w:vAlign w:val="center"/>
          </w:tcPr>
          <w:p w14:paraId="4D98B73A">
            <w:pPr>
              <w:spacing w:before="48" w:beforeLines="20" w:after="48" w:afterLines="20"/>
              <w:jc w:val="center"/>
              <w:rPr>
                <w:rFonts w:ascii="Times New Roman" w:hAnsi="Times New Roman" w:eastAsia="Times New Roman" w:cs="Times New Roman"/>
                <w:sz w:val="24"/>
              </w:rPr>
            </w:pPr>
            <w:r>
              <w:rPr>
                <w:rFonts w:hint="default" w:ascii="Times New Roman" w:hAnsi="Times New Roman" w:eastAsia="Times New Roman" w:cs="Times New Roman"/>
                <w:sz w:val="24"/>
                <w:lang w:val="en-US"/>
              </w:rPr>
              <w:t>11</w:t>
            </w:r>
            <w:r>
              <w:rPr>
                <w:rFonts w:ascii="Times New Roman" w:hAnsi="Times New Roman" w:eastAsia="Times New Roman" w:cs="Times New Roman"/>
                <w:sz w:val="24"/>
              </w:rPr>
              <w:t>:</w:t>
            </w:r>
            <w:r>
              <w:rPr>
                <w:rFonts w:hint="default" w:ascii="Times New Roman" w:hAnsi="Times New Roman" w:eastAsia="Times New Roman" w:cs="Times New Roman"/>
                <w:sz w:val="24"/>
                <w:lang w:val="en-US"/>
              </w:rPr>
              <w:t>0</w:t>
            </w:r>
            <w:r>
              <w:rPr>
                <w:rFonts w:ascii="Times New Roman" w:hAnsi="Times New Roman" w:eastAsia="Times New Roman" w:cs="Times New Roman"/>
                <w:sz w:val="24"/>
              </w:rPr>
              <w:t>0-1</w:t>
            </w:r>
            <w:r>
              <w:rPr>
                <w:rFonts w:hint="default" w:ascii="Times New Roman" w:hAnsi="Times New Roman" w:eastAsia="Times New Roman" w:cs="Times New Roman"/>
                <w:sz w:val="24"/>
                <w:lang w:val="en-US"/>
              </w:rPr>
              <w:t>2</w:t>
            </w:r>
            <w:r>
              <w:rPr>
                <w:rFonts w:ascii="Times New Roman" w:hAnsi="Times New Roman" w:eastAsia="Times New Roman" w:cs="Times New Roman"/>
                <w:sz w:val="24"/>
              </w:rPr>
              <w:t>:00</w:t>
            </w:r>
          </w:p>
        </w:tc>
        <w:tc>
          <w:tcPr>
            <w:tcW w:w="7780" w:type="dxa"/>
            <w:shd w:val="clear" w:color="auto" w:fill="auto"/>
            <w:vAlign w:val="center"/>
          </w:tcPr>
          <w:p w14:paraId="57F744AE">
            <w:pPr>
              <w:spacing w:before="48" w:beforeLines="20" w:after="48" w:afterLines="2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Hecong Gao</w:t>
            </w:r>
          </w:p>
          <w:p w14:paraId="3065871C">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Discontinuous Galerkin methods for index-1 and index-2 integral</w:t>
            </w:r>
          </w:p>
          <w:p w14:paraId="7B28E2CB">
            <w:pPr>
              <w:bidi w:val="0"/>
              <w:jc w:val="center"/>
              <w:rPr>
                <w:rFonts w:ascii="Times New Roman" w:hAnsi="Times New Roman" w:cs="Times New Roman"/>
                <w:sz w:val="24"/>
                <w:szCs w:val="24"/>
              </w:rPr>
            </w:pPr>
            <w:r>
              <w:rPr>
                <w:rFonts w:hint="default" w:ascii="Times New Roman" w:hAnsi="Times New Roman" w:cs="Times New Roman"/>
                <w:sz w:val="24"/>
                <w:szCs w:val="24"/>
                <w:lang w:val="en-US" w:eastAsia="zh-CN"/>
              </w:rPr>
              <w:t>algebraic equations</w:t>
            </w:r>
          </w:p>
        </w:tc>
      </w:tr>
      <w:tr w14:paraId="32BD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82" w:type="dxa"/>
            <w:gridSpan w:val="2"/>
            <w:shd w:val="clear" w:color="auto" w:fill="D8D8D8" w:themeFill="background1" w:themeFillShade="D9"/>
            <w:vAlign w:val="center"/>
          </w:tcPr>
          <w:p w14:paraId="6004C9C7">
            <w:pPr>
              <w:spacing w:before="48" w:beforeLines="20" w:after="48" w:afterLines="20"/>
              <w:jc w:val="center"/>
              <w:rPr>
                <w:rFonts w:ascii="Times New Roman" w:hAnsi="Times New Roman" w:eastAsia="宋体" w:cs="Times New Roman"/>
                <w:b/>
                <w:bCs/>
                <w:sz w:val="24"/>
              </w:rPr>
            </w:pPr>
            <w:r>
              <w:rPr>
                <w:rFonts w:ascii="Times New Roman" w:hAnsi="Times New Roman" w:eastAsia="Times New Roman" w:cs="Times New Roman"/>
                <w:b/>
                <w:bCs/>
                <w:sz w:val="24"/>
              </w:rPr>
              <w:t xml:space="preserve">Afternoon Session    </w:t>
            </w:r>
          </w:p>
        </w:tc>
      </w:tr>
      <w:tr w14:paraId="18B5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382" w:type="dxa"/>
            <w:gridSpan w:val="2"/>
            <w:shd w:val="clear" w:color="auto" w:fill="auto"/>
            <w:vAlign w:val="center"/>
          </w:tcPr>
          <w:p w14:paraId="322A380F">
            <w:pPr>
              <w:spacing w:before="48" w:beforeLines="20" w:after="48" w:afterLines="20"/>
              <w:jc w:val="center"/>
              <w:rPr>
                <w:rFonts w:hint="default" w:ascii="Times New Roman" w:hAnsi="Times New Roman" w:eastAsia="宋体" w:cs="Times New Roman"/>
                <w:b/>
                <w:bCs/>
                <w:sz w:val="24"/>
                <w:lang w:val="en-US"/>
              </w:rPr>
            </w:pPr>
            <w:r>
              <w:rPr>
                <w:rFonts w:ascii="Times New Roman" w:hAnsi="Times New Roman" w:eastAsia="Times New Roman" w:cs="Times New Roman"/>
                <w:b/>
                <w:bCs/>
                <w:sz w:val="24"/>
              </w:rPr>
              <w:t>Chair:</w:t>
            </w:r>
            <w:r>
              <w:rPr>
                <w:rFonts w:hint="default" w:ascii="Times New Roman" w:hAnsi="Times New Roman" w:eastAsia="Times New Roman" w:cs="Times New Roman"/>
                <w:b/>
                <w:bCs/>
                <w:sz w:val="24"/>
                <w:lang w:val="en-US"/>
              </w:rPr>
              <w:t xml:space="preserve"> </w:t>
            </w:r>
            <w:r>
              <w:rPr>
                <w:rFonts w:hint="eastAsia" w:ascii="Times New Roman" w:hAnsi="Times New Roman" w:eastAsia="宋体" w:cs="Times New Roman"/>
                <w:b/>
                <w:bCs/>
                <w:sz w:val="24"/>
                <w:lang w:val="en-US" w:eastAsia="zh-CN"/>
              </w:rPr>
              <w:t>Ye Zhang</w:t>
            </w:r>
          </w:p>
        </w:tc>
      </w:tr>
      <w:tr w14:paraId="064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02" w:type="dxa"/>
            <w:shd w:val="clear" w:color="auto" w:fill="auto"/>
            <w:vAlign w:val="center"/>
          </w:tcPr>
          <w:p w14:paraId="02E7BFA5">
            <w:pPr>
              <w:spacing w:before="48" w:beforeLines="20" w:after="48" w:afterLines="20"/>
              <w:jc w:val="center"/>
              <w:rPr>
                <w:rFonts w:ascii="Times New Roman" w:hAnsi="Times New Roman" w:cs="Times New Roman"/>
                <w:sz w:val="24"/>
              </w:rPr>
            </w:pPr>
            <w:r>
              <w:rPr>
                <w:rFonts w:ascii="Times New Roman" w:hAnsi="Times New Roman" w:cs="Times New Roman"/>
                <w:sz w:val="24"/>
              </w:rPr>
              <w:t>14:30-15:</w:t>
            </w:r>
            <w:r>
              <w:rPr>
                <w:rFonts w:hint="eastAsia" w:ascii="Times New Roman" w:hAnsi="Times New Roman" w:cs="Times New Roman"/>
                <w:sz w:val="24"/>
                <w:lang w:val="en-US" w:eastAsia="zh-CN"/>
              </w:rPr>
              <w:t>3</w:t>
            </w:r>
            <w:r>
              <w:rPr>
                <w:rFonts w:ascii="Times New Roman" w:hAnsi="Times New Roman" w:cs="Times New Roman"/>
                <w:sz w:val="24"/>
              </w:rPr>
              <w:t>0</w:t>
            </w:r>
          </w:p>
        </w:tc>
        <w:tc>
          <w:tcPr>
            <w:tcW w:w="7780" w:type="dxa"/>
            <w:shd w:val="clear" w:color="auto" w:fill="auto"/>
            <w:vAlign w:val="center"/>
          </w:tcPr>
          <w:p w14:paraId="0EA82E38">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Chenyao Wang</w:t>
            </w:r>
          </w:p>
          <w:p w14:paraId="28D7CB0E">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Multi-task learning enhenced deep neural networks for delay dif</w:t>
            </w:r>
          </w:p>
          <w:p w14:paraId="411A8F7E">
            <w:pPr>
              <w:bidi w:val="0"/>
              <w:jc w:val="center"/>
              <w:rPr>
                <w:rFonts w:hint="eastAsia" w:ascii="Calibri Bold" w:hAnsi="Calibri Bold" w:eastAsia="Adobe Gothic Std" w:cs="Calibri Bold"/>
                <w:b/>
                <w:bCs/>
                <w:sz w:val="24"/>
                <w:szCs w:val="24"/>
                <w:shd w:val="clear" w:color="auto" w:fill="FFFFFF"/>
                <w:lang w:bidi="ar"/>
              </w:rPr>
            </w:pPr>
            <w:r>
              <w:rPr>
                <w:rFonts w:hint="default" w:ascii="Times New Roman" w:hAnsi="Times New Roman" w:cs="Times New Roman"/>
                <w:sz w:val="24"/>
                <w:szCs w:val="24"/>
                <w:lang w:val="en-US" w:eastAsia="zh-CN"/>
              </w:rPr>
              <w:t>ferential equations</w:t>
            </w:r>
          </w:p>
        </w:tc>
      </w:tr>
      <w:tr w14:paraId="6F0B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shd w:val="clear" w:color="auto" w:fill="auto"/>
            <w:vAlign w:val="center"/>
          </w:tcPr>
          <w:p w14:paraId="3B1E441C">
            <w:pPr>
              <w:spacing w:before="48" w:beforeLines="20" w:after="48" w:afterLines="20"/>
              <w:jc w:val="center"/>
              <w:rPr>
                <w:rFonts w:ascii="Times New Roman" w:hAnsi="Times New Roman" w:eastAsia="Times New Roman" w:cs="Times New Roman"/>
                <w:sz w:val="24"/>
              </w:rPr>
            </w:pPr>
            <w:r>
              <w:rPr>
                <w:rFonts w:ascii="Times New Roman" w:hAnsi="Times New Roman" w:cs="Times New Roman"/>
                <w:sz w:val="24"/>
              </w:rPr>
              <w:t>15:</w:t>
            </w:r>
            <w:r>
              <w:rPr>
                <w:rFonts w:hint="eastAsia" w:ascii="Times New Roman" w:hAnsi="Times New Roman" w:cs="Times New Roman"/>
                <w:sz w:val="24"/>
                <w:lang w:val="en-US" w:eastAsia="zh-CN"/>
              </w:rPr>
              <w:t>3</w:t>
            </w:r>
            <w:r>
              <w:rPr>
                <w:rFonts w:ascii="Times New Roman" w:hAnsi="Times New Roman" w:cs="Times New Roman"/>
                <w:sz w:val="24"/>
              </w:rPr>
              <w:t>0-1</w:t>
            </w:r>
            <w:r>
              <w:rPr>
                <w:rFonts w:hint="eastAsia" w:ascii="Times New Roman" w:hAnsi="Times New Roman" w:cs="Times New Roman"/>
                <w:sz w:val="24"/>
                <w:lang w:val="en-US" w:eastAsia="zh-CN"/>
              </w:rPr>
              <w:t>6</w:t>
            </w:r>
            <w:r>
              <w:rPr>
                <w:rFonts w:ascii="Times New Roman" w:hAnsi="Times New Roman" w:cs="Times New Roman"/>
                <w:sz w:val="24"/>
              </w:rPr>
              <w:t>:30</w:t>
            </w:r>
          </w:p>
        </w:tc>
        <w:tc>
          <w:tcPr>
            <w:tcW w:w="7780" w:type="dxa"/>
            <w:shd w:val="clear" w:color="auto" w:fill="auto"/>
            <w:vAlign w:val="center"/>
          </w:tcPr>
          <w:p w14:paraId="7385CCB8">
            <w:pPr>
              <w:spacing w:before="48" w:beforeLines="20" w:after="48" w:afterLines="2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Haiyan Zhang</w:t>
            </w:r>
          </w:p>
          <w:p w14:paraId="37145D15">
            <w:pPr>
              <w:bidi w:val="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On a mixed Galerkin method for semi-explicit index-1 integro</w:t>
            </w:r>
          </w:p>
          <w:p w14:paraId="519CDDAA">
            <w:pPr>
              <w:bidi w:val="0"/>
              <w:jc w:val="center"/>
              <w:rPr>
                <w:rFonts w:hint="default" w:ascii="Times New Roman" w:hAnsi="Times New Roman" w:cs="Times New Roman"/>
                <w:sz w:val="24"/>
                <w:szCs w:val="24"/>
                <w:lang w:val="en-US" w:eastAsia="zh-Hans"/>
              </w:rPr>
            </w:pPr>
            <w:r>
              <w:rPr>
                <w:rFonts w:hint="default" w:ascii="Times New Roman" w:hAnsi="Times New Roman" w:cs="Times New Roman"/>
                <w:sz w:val="24"/>
                <w:szCs w:val="24"/>
                <w:lang w:val="en-US" w:eastAsia="zh-CN"/>
              </w:rPr>
              <w:t>differential algebraic equations</w:t>
            </w:r>
          </w:p>
        </w:tc>
      </w:tr>
      <w:tr w14:paraId="232E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02" w:type="dxa"/>
            <w:shd w:val="clear" w:color="auto" w:fill="auto"/>
            <w:vAlign w:val="center"/>
          </w:tcPr>
          <w:p w14:paraId="40978627">
            <w:pPr>
              <w:spacing w:before="48" w:beforeLines="20" w:after="48" w:afterLines="20"/>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lang w:val="en-US" w:eastAsia="zh-CN"/>
              </w:rPr>
              <w:t>6</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0-1</w:t>
            </w:r>
            <w:r>
              <w:rPr>
                <w:rFonts w:hint="eastAsia" w:ascii="Times New Roman" w:hAnsi="Times New Roman" w:cs="Times New Roman"/>
                <w:sz w:val="24"/>
                <w:lang w:val="en-US" w:eastAsia="zh-CN"/>
              </w:rPr>
              <w:t>7</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w:t>
            </w:r>
          </w:p>
        </w:tc>
        <w:tc>
          <w:tcPr>
            <w:tcW w:w="7780" w:type="dxa"/>
            <w:shd w:val="clear" w:color="auto" w:fill="auto"/>
            <w:vAlign w:val="center"/>
          </w:tcPr>
          <w:p w14:paraId="44163653">
            <w:pPr>
              <w:spacing w:before="48" w:beforeLines="20" w:after="48" w:afterLines="20"/>
              <w:jc w:val="center"/>
              <w:rPr>
                <w:rFonts w:hint="default" w:ascii="Calibri Bold" w:hAnsi="Calibri Bold" w:eastAsia="Adobe Gothic Std" w:cs="Calibri Bold"/>
                <w:b/>
                <w:bCs/>
                <w:snapToGrid w:val="0"/>
                <w:color w:val="000000"/>
                <w:kern w:val="0"/>
                <w:sz w:val="28"/>
                <w:szCs w:val="28"/>
                <w:shd w:val="clear" w:color="auto" w:fill="FFFFFF"/>
                <w:lang w:val="en-US" w:bidi="ar"/>
              </w:rPr>
            </w:pPr>
            <w:r>
              <w:rPr>
                <w:rFonts w:hint="default" w:ascii="Times New Roman" w:hAnsi="Times New Roman" w:cs="Times New Roman"/>
                <w:sz w:val="24"/>
                <w:lang w:val="en-US" w:eastAsia="zh-Hans"/>
              </w:rPr>
              <w:t>Free discussion</w:t>
            </w:r>
          </w:p>
        </w:tc>
      </w:tr>
    </w:tbl>
    <w:p w14:paraId="5926F4C5">
      <w:pPr>
        <w:spacing w:line="351" w:lineRule="auto"/>
        <w:ind w:left="1430" w:leftChars="552" w:right="454" w:rightChars="216" w:hanging="271" w:hangingChars="75"/>
        <w:jc w:val="center"/>
        <w:rPr>
          <w:rFonts w:ascii="黑体" w:hAnsi="黑体" w:eastAsia="黑体" w:cs="宋体"/>
          <w:b/>
          <w:bCs/>
          <w:color w:val="000000" w:themeColor="text1"/>
          <w:sz w:val="36"/>
          <w:szCs w:val="32"/>
          <w14:textFill>
            <w14:solidFill>
              <w14:schemeClr w14:val="tx1"/>
            </w14:solidFill>
          </w14:textFill>
        </w:rPr>
      </w:pPr>
    </w:p>
    <w:p w14:paraId="123730C1">
      <w:pPr>
        <w:jc w:val="center"/>
      </w:pPr>
    </w:p>
    <w:p w14:paraId="5455FE17">
      <w:pPr>
        <w:jc w:val="center"/>
      </w:pPr>
    </w:p>
    <w:p w14:paraId="0BBEAF71">
      <w:pPr>
        <w:jc w:val="center"/>
      </w:pPr>
    </w:p>
    <w:p w14:paraId="2D5D4A82">
      <w:pPr>
        <w:jc w:val="center"/>
      </w:pPr>
    </w:p>
    <w:p w14:paraId="59EB1077">
      <w:pPr>
        <w:jc w:val="center"/>
      </w:pPr>
    </w:p>
    <w:p w14:paraId="29E39793">
      <w:pPr>
        <w:jc w:val="center"/>
      </w:pPr>
    </w:p>
    <w:p w14:paraId="1B3A9CED">
      <w:pPr>
        <w:jc w:val="center"/>
      </w:pPr>
    </w:p>
    <w:p w14:paraId="32A2DE41">
      <w:pPr>
        <w:jc w:val="center"/>
      </w:pPr>
    </w:p>
    <w:p w14:paraId="2D353942">
      <w:pPr>
        <w:jc w:val="center"/>
      </w:pPr>
    </w:p>
    <w:p w14:paraId="6DE2640D">
      <w:pPr>
        <w:jc w:val="center"/>
      </w:pPr>
    </w:p>
    <w:p w14:paraId="21254714">
      <w:pPr>
        <w:jc w:val="center"/>
      </w:pPr>
    </w:p>
    <w:p w14:paraId="1182CFFF">
      <w:pPr>
        <w:jc w:val="both"/>
      </w:pPr>
    </w:p>
    <w:p w14:paraId="2849E455"/>
    <w:p w14:paraId="35C9555D">
      <w:pPr>
        <w:spacing w:line="351" w:lineRule="auto"/>
        <w:ind w:right="454" w:rightChars="216" w:firstLine="1084" w:firstLineChars="300"/>
        <w:jc w:val="center"/>
        <w:rPr>
          <w:rFonts w:ascii="黑体" w:hAnsi="黑体" w:eastAsia="黑体" w:cs="宋体"/>
          <w:b/>
          <w:bCs/>
          <w:color w:val="000000" w:themeColor="text1"/>
          <w:sz w:val="36"/>
          <w:szCs w:val="32"/>
          <w:lang w:eastAsia="zh-Hans"/>
          <w14:textFill>
            <w14:solidFill>
              <w14:schemeClr w14:val="tx1"/>
            </w14:solidFill>
          </w14:textFill>
        </w:rPr>
      </w:pPr>
      <w:r>
        <w:rPr>
          <w:rFonts w:hint="eastAsia" w:ascii="黑体" w:hAnsi="黑体" w:eastAsia="黑体" w:cs="宋体"/>
          <w:b/>
          <w:bCs/>
          <w:color w:val="000000" w:themeColor="text1"/>
          <w:sz w:val="36"/>
          <w:szCs w:val="32"/>
          <w:lang w:val="en-US" w:eastAsia="zh-CN"/>
          <w14:textFill>
            <w14:solidFill>
              <w14:schemeClr w14:val="tx1"/>
            </w14:solidFill>
          </w14:textFill>
        </w:rPr>
        <w:t>二</w:t>
      </w:r>
      <w:r>
        <w:rPr>
          <w:rFonts w:ascii="黑体" w:hAnsi="黑体" w:eastAsia="黑体" w:cs="宋体"/>
          <w:b/>
          <w:bCs/>
          <w:color w:val="000000" w:themeColor="text1"/>
          <w:sz w:val="36"/>
          <w:szCs w:val="32"/>
          <w:lang w:eastAsia="zh-Hans"/>
          <w14:textFill>
            <w14:solidFill>
              <w14:schemeClr w14:val="tx1"/>
            </w14:solidFill>
          </w14:textFill>
        </w:rPr>
        <w:t>、</w:t>
      </w:r>
      <w:r>
        <w:rPr>
          <w:rFonts w:hint="eastAsia" w:ascii="黑体" w:hAnsi="黑体" w:eastAsia="黑体" w:cs="宋体"/>
          <w:b/>
          <w:bCs/>
          <w:color w:val="000000" w:themeColor="text1"/>
          <w:sz w:val="36"/>
          <w:szCs w:val="32"/>
          <w:lang w:eastAsia="zh-Hans"/>
          <w14:textFill>
            <w14:solidFill>
              <w14:schemeClr w14:val="tx1"/>
            </w14:solidFill>
          </w14:textFill>
        </w:rPr>
        <w:t>报告摘要(Abstracts)</w:t>
      </w:r>
    </w:p>
    <w:p w14:paraId="0C4980E4">
      <w:pPr>
        <w:bidi w:val="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Hanxiao Wang, Shenzhen University, China, </w:t>
      </w:r>
    </w:p>
    <w:p w14:paraId="1D53C1F5">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Title: Solvability of coupled forward-backward Volterra integral equations</w:t>
      </w:r>
    </w:p>
    <w:p w14:paraId="432F8422">
      <w:pPr>
        <w:bidi w:val="0"/>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en-US" w:eastAsia="zh-CN"/>
        </w:rPr>
        <w:t>Abstract: Motivated by the optimality system associated with controlled (forward) Volterra integral equations (FVIEs, for short), the well-posedness of coupled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forward-backward Voterra integral equations (FBVIEs, for short) is studied. The main feature of FBVIEs is that the unknown {(X(t, s), Y (t, s))} has two arguments. By taking t as a parameter and s as a (time) variable, one can regard FBVIE as a system of ordinary differential equations (ODEs, for short), with infinite-dimensional space values {(X(·, s), Y (·, s)); s ∈ [0, T]}. To establish the well-posedness of such an FBVIE, a new non-local monotonicity condition is introduced, by which a bridge in infinite-dimensional spaces is constructed. Then by generalizing the method of continuation developed by [Hu-Peng1995, Yong1997, Peng-Wu1999] for differential equations, we have established the well-posedness of FBVIEs. Joint work with Wenyang Li and Jiongmin Yong. </w:t>
      </w:r>
    </w:p>
    <w:p w14:paraId="69590539">
      <w:pPr>
        <w:bidi w:val="0"/>
        <w:jc w:val="left"/>
        <w:rPr>
          <w:rFonts w:hint="default" w:ascii="Times New Roman" w:hAnsi="Times New Roman" w:cs="Times New Roman"/>
          <w:sz w:val="28"/>
          <w:szCs w:val="28"/>
          <w:lang w:val="en-US" w:eastAsia="zh-CN"/>
        </w:rPr>
      </w:pPr>
    </w:p>
    <w:p w14:paraId="74318F0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Hecong Gao, Harbin Institute of Technology, Shenzhen, China,</w:t>
      </w:r>
    </w:p>
    <w:p w14:paraId="59107534">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Title: Discontinuous Galerkin methods for index-1 and index-2 integral</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algebraic equations</w:t>
      </w:r>
    </w:p>
    <w:p w14:paraId="5F68E38F">
      <w:pPr>
        <w:bidi w:val="0"/>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Abstract: The integral-algebraic equation (IAE) of index 1 is a mixed system of first-kind and second-kind Volterra integral equations (VIEs). The discontinuous 11Galerkin (DG) method is proposed to solve the index-1 IAE, and the optimal global convergence order is obtained. The iterated DG method is introduced in order to improve the numerical accuracy, and the global superconvergence of the iterated DG solution is derived. </w:t>
      </w:r>
    </w:p>
    <w:p w14:paraId="6454A021">
      <w:pPr>
        <w:bidi w:val="0"/>
        <w:ind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The discontinuous Galerkin method is further employed to solve index-2 integralalgebraic equations. First, the convergence theory of perturbed DG methods for first-kind VIEs is established, and then used to derive the optimal convergence properties of DG methods for index-2 IAEs. It is shown that an (m − 1)-th degree DG approximation exhibits global convergence of order m when m is odd, and of order m − 1 when m is even, for the first component x1 of the exact solution, corresponding to the second-kind VIE, whereas the convergence order is reduced by two for the second component x2 of the exact solution, corresponding to the first-kind VIE. Each component also exhibits local superconvergence of one order higher when m is even. When m is odd, superconvergence occurs only if x1 satisfies x ( 1 m) (0) = 0. Moreover, with this condition, we can extend the local superconvergence result for x2 to global superconvergence when m is odd. Note that in the DG method for an index-1 IAE, generally, the global superconvergence of the exact solution component corresponding to the second-kind VIE can only be obtained by iteration. However, we can get superconvergence for all components of the exact solution of the index-2 </w:t>
      </w:r>
    </w:p>
    <w:p w14:paraId="340E4029">
      <w:pPr>
        <w:bidi w:val="0"/>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IAE directly. </w:t>
      </w:r>
    </w:p>
    <w:p w14:paraId="1183FF72">
      <w:pPr>
        <w:bidi w:val="0"/>
        <w:jc w:val="both"/>
        <w:rPr>
          <w:rFonts w:hint="default" w:ascii="Times New Roman" w:hAnsi="Times New Roman" w:cs="Times New Roman"/>
          <w:sz w:val="28"/>
          <w:szCs w:val="28"/>
          <w:lang w:val="en-US" w:eastAsia="zh-CN"/>
        </w:rPr>
      </w:pPr>
    </w:p>
    <w:p w14:paraId="3A7E0F10">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Chenyao Wang, Harbin Institute of Technology, Shenzhen, China,</w:t>
      </w:r>
    </w:p>
    <w:p w14:paraId="0E1A522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Title: Multi-task learning enhenced deep neural networks for delay differential equations</w:t>
      </w:r>
    </w:p>
    <w:p w14:paraId="0C1F6C02">
      <w:pPr>
        <w:bidi w:val="0"/>
        <w:ind w:firstLine="560" w:firstLineChars="200"/>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Abstract: We present a novel multi-task learning (MTL) enhenced DNN to solve both forward and inverse problems of delay differential equations (DDEs). The core idea behind this approach is to capture information at primary discontinuity points by employing a MTL enhenced DNN that can seamlessly integrate the regularity at primary discontinuity points into the loss function. Subsequently, the network is trained task by task, and transfer learning is applied to task-specific parameters of the network across tasks to expedite network convergence, thereby reducing the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complexity of network training and offering reference solutions for subsequent tasks. The MTL enhenced DNN with the sequential training scheme significantly improves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approximation accuracy and computation efficiency, which is demonstrated by solving several problems involving time-dependent DDEs and spatio-temporal DDEs,12contrasting its performance with that of the conventional DNN method.</w:t>
      </w:r>
    </w:p>
    <w:p w14:paraId="6E01F2F3">
      <w:pPr>
        <w:bidi w:val="0"/>
        <w:ind w:firstLine="560" w:firstLineChars="200"/>
        <w:jc w:val="both"/>
        <w:rPr>
          <w:rFonts w:hint="default" w:ascii="Times New Roman" w:hAnsi="Times New Roman" w:cs="Times New Roman"/>
          <w:sz w:val="28"/>
          <w:szCs w:val="28"/>
          <w:lang w:val="en-US" w:eastAsia="zh-CN"/>
        </w:rPr>
      </w:pPr>
    </w:p>
    <w:p w14:paraId="68928C31">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Haiyan Zhang, Harbin Institute of Technology, Shenzhen, China,</w:t>
      </w:r>
    </w:p>
    <w:p w14:paraId="4DA3BDEB">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Title: On a mixed Galerkin method for semi-explicit index-1 integro</w:t>
      </w:r>
    </w:p>
    <w:p w14:paraId="698B959C">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differential algebraic equations</w:t>
      </w:r>
    </w:p>
    <w:p w14:paraId="41DABFFC">
      <w:pPr>
        <w:bidi w:val="0"/>
        <w:jc w:val="both"/>
      </w:pPr>
      <w:r>
        <w:rPr>
          <w:rFonts w:hint="default" w:ascii="Times New Roman" w:hAnsi="Times New Roman" w:cs="Times New Roman"/>
          <w:sz w:val="28"/>
          <w:szCs w:val="28"/>
          <w:lang w:val="en-US" w:eastAsia="zh-CN"/>
        </w:rPr>
        <w:t>Abstract: The semi-explicit index-1 integro-differential algebraic equation (IDAE)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is a coupled system of Volterra integro-differential equations (VIDEs) and second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kind Volterra integral equations (VIEs). The existence, uniqueness and regularity</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of the exact solution are analyzed in detail. A numerical scheme mixed continuous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Galerkin (CG) and discontinuous Galerkin (DG) method is proposed for the IDAE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with the VIDE part approximated by CG schemes and the VIE part approximated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by DG schemes. First, the global convergence order of the numerical solution is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obtained, which is optimal for the VIE part, but not for the VIDE part. To improve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the numerical accuracy, the iterated DG method is introduced for the VIE part. By</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virtue of the iterated DG method, the optimal global convergence is obtained for</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the VIDE part, and the global and local superconvergence results are gained for the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new combination of numerical schemes with CG and iterated DG methods. Some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numerical experiments are given to illustrate the theoretical results.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Bold">
    <w:altName w:val="Calibri"/>
    <w:panose1 w:val="020F0702030404030204"/>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Adobe Gothic Std">
    <w:altName w:val="宋体"/>
    <w:panose1 w:val="00000000000000000000"/>
    <w:charset w:val="86"/>
    <w:family w:val="auto"/>
    <w:pitch w:val="default"/>
    <w:sig w:usb0="00000000" w:usb1="00000000" w:usb2="00000000" w:usb3="00000000" w:csb0="0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B3BC3"/>
    <w:rsid w:val="0DBFFDDE"/>
    <w:rsid w:val="2CBB2B0D"/>
    <w:rsid w:val="66670A10"/>
    <w:rsid w:val="6B7FBEA8"/>
    <w:rsid w:val="7EEFCE03"/>
    <w:rsid w:val="B5FDBFD6"/>
    <w:rsid w:val="BDDB3BC3"/>
    <w:rsid w:val="FEFF9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浅色1"/>
    <w:basedOn w:val="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875</Words>
  <Characters>4150</Characters>
  <Lines>0</Lines>
  <Paragraphs>0</Paragraphs>
  <TotalTime>4</TotalTime>
  <ScaleCrop>false</ScaleCrop>
  <LinksUpToDate>false</LinksUpToDate>
  <CharactersWithSpaces>4761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2025-05-07T16:26:00Z</dcterms:created>
  <dc:creator>何酉子</dc:creator>
  <cp:lastModifiedBy>胥励梅</cp:lastModifiedBy>
  <dcterms:modified xsi:type="dcterms:W3CDTF">2025-05-22T11:00:57Z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C26C11801FF341EABAB0DA204F9FF4BB_13</vt:lpwstr>
  </property>
  <property fmtid="{D5CDD505-2E9C-101B-9397-08002B2CF9AE}" pid="4" name="KSOTemplateDocerSaveRecord">
    <vt:lpwstr>eyJoZGlkIjoiNmMxM2U3ODI2ZTgyNTMzOTE3ODc2NmJmODY2ZDc5Y2EiLCJ1c2VySWQiOiIyOTA3MzYyNjIifQ==</vt:lpwstr>
  </property>
</Properties>
</file>